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D36" w:rsidRDefault="005B2D36" w:rsidP="00F6334B">
      <w:pPr>
        <w:pBdr>
          <w:top w:val="single" w:sz="4" w:space="1" w:color="auto"/>
          <w:left w:val="single" w:sz="4" w:space="4" w:color="auto"/>
          <w:bottom w:val="single" w:sz="4" w:space="1" w:color="auto"/>
          <w:right w:val="single" w:sz="4" w:space="4" w:color="auto"/>
        </w:pBdr>
        <w:shd w:val="pct20" w:color="auto" w:fill="auto"/>
        <w:jc w:val="center"/>
        <w:rPr>
          <w:b/>
          <w:sz w:val="30"/>
        </w:rPr>
      </w:pPr>
      <w:bookmarkStart w:id="0" w:name="_Hlk56158362"/>
      <w:bookmarkStart w:id="1" w:name="_GoBack"/>
      <w:bookmarkEnd w:id="1"/>
    </w:p>
    <w:p w:rsidR="00395C37" w:rsidRDefault="00395C37" w:rsidP="00F6334B">
      <w:pPr>
        <w:pBdr>
          <w:top w:val="single" w:sz="4" w:space="1" w:color="auto"/>
          <w:left w:val="single" w:sz="4" w:space="4" w:color="auto"/>
          <w:bottom w:val="single" w:sz="4" w:space="1" w:color="auto"/>
          <w:right w:val="single" w:sz="4" w:space="4" w:color="auto"/>
        </w:pBdr>
        <w:shd w:val="pct20" w:color="auto" w:fill="auto"/>
        <w:jc w:val="center"/>
        <w:rPr>
          <w:b/>
          <w:sz w:val="30"/>
        </w:rPr>
      </w:pPr>
      <w:r>
        <w:rPr>
          <w:b/>
          <w:sz w:val="30"/>
        </w:rPr>
        <w:t>MONTANTS JOURNALIERS</w:t>
      </w:r>
      <w:r w:rsidR="00F32966">
        <w:rPr>
          <w:b/>
          <w:sz w:val="30"/>
        </w:rPr>
        <w:t xml:space="preserve"> DE L’ISSR</w:t>
      </w:r>
    </w:p>
    <w:p w:rsidR="00395C37" w:rsidRDefault="00F32966" w:rsidP="00F6334B">
      <w:pPr>
        <w:pBdr>
          <w:top w:val="single" w:sz="4" w:space="1" w:color="auto"/>
          <w:left w:val="single" w:sz="4" w:space="4" w:color="auto"/>
          <w:bottom w:val="single" w:sz="4" w:space="1" w:color="auto"/>
          <w:right w:val="single" w:sz="4" w:space="4" w:color="auto"/>
        </w:pBdr>
        <w:shd w:val="pct20" w:color="auto" w:fill="auto"/>
        <w:jc w:val="center"/>
        <w:rPr>
          <w:b/>
          <w:sz w:val="30"/>
        </w:rPr>
      </w:pPr>
      <w:r>
        <w:rPr>
          <w:b/>
          <w:sz w:val="30"/>
        </w:rPr>
        <w:t>VERSÉE AUX PERSONNELS</w:t>
      </w:r>
      <w:r w:rsidR="00395C37">
        <w:rPr>
          <w:b/>
          <w:sz w:val="30"/>
        </w:rPr>
        <w:t xml:space="preserve"> </w:t>
      </w:r>
      <w:r>
        <w:rPr>
          <w:b/>
          <w:sz w:val="30"/>
        </w:rPr>
        <w:t>ASSURANT</w:t>
      </w:r>
    </w:p>
    <w:p w:rsidR="00F32966" w:rsidRDefault="00F32966" w:rsidP="00F6334B">
      <w:pPr>
        <w:pBdr>
          <w:top w:val="single" w:sz="4" w:space="1" w:color="auto"/>
          <w:left w:val="single" w:sz="4" w:space="4" w:color="auto"/>
          <w:bottom w:val="single" w:sz="4" w:space="1" w:color="auto"/>
          <w:right w:val="single" w:sz="4" w:space="4" w:color="auto"/>
        </w:pBdr>
        <w:shd w:val="pct20" w:color="auto" w:fill="auto"/>
        <w:jc w:val="center"/>
        <w:rPr>
          <w:b/>
          <w:sz w:val="30"/>
        </w:rPr>
      </w:pPr>
      <w:r>
        <w:rPr>
          <w:b/>
          <w:sz w:val="30"/>
        </w:rPr>
        <w:t>DES REMPLACEMENTS</w:t>
      </w:r>
    </w:p>
    <w:p w:rsidR="005B2D36" w:rsidRDefault="00F32966" w:rsidP="00F6334B">
      <w:pPr>
        <w:pBdr>
          <w:top w:val="single" w:sz="4" w:space="1" w:color="auto"/>
          <w:left w:val="single" w:sz="4" w:space="4" w:color="auto"/>
          <w:bottom w:val="single" w:sz="4" w:space="1" w:color="auto"/>
          <w:right w:val="single" w:sz="4" w:space="4" w:color="auto"/>
        </w:pBdr>
        <w:shd w:val="pct20" w:color="auto" w:fill="auto"/>
        <w:jc w:val="center"/>
        <w:rPr>
          <w:b/>
          <w:sz w:val="30"/>
        </w:rPr>
      </w:pPr>
      <w:r>
        <w:rPr>
          <w:b/>
          <w:sz w:val="30"/>
        </w:rPr>
        <w:t>DANS LE 1</w:t>
      </w:r>
      <w:r w:rsidRPr="00F32966">
        <w:rPr>
          <w:b/>
          <w:sz w:val="30"/>
          <w:vertAlign w:val="superscript"/>
        </w:rPr>
        <w:t>er</w:t>
      </w:r>
      <w:r>
        <w:rPr>
          <w:b/>
          <w:sz w:val="30"/>
        </w:rPr>
        <w:t xml:space="preserve"> et le 2</w:t>
      </w:r>
      <w:r w:rsidRPr="00F32966">
        <w:rPr>
          <w:b/>
          <w:sz w:val="30"/>
          <w:vertAlign w:val="superscript"/>
        </w:rPr>
        <w:t>nd</w:t>
      </w:r>
      <w:r>
        <w:rPr>
          <w:b/>
          <w:sz w:val="30"/>
        </w:rPr>
        <w:t xml:space="preserve"> DEGRÉ</w:t>
      </w:r>
    </w:p>
    <w:p w:rsidR="00F32966" w:rsidRDefault="00F32966" w:rsidP="00F6334B">
      <w:pPr>
        <w:pBdr>
          <w:top w:val="single" w:sz="4" w:space="1" w:color="auto"/>
          <w:left w:val="single" w:sz="4" w:space="4" w:color="auto"/>
          <w:bottom w:val="single" w:sz="4" w:space="1" w:color="auto"/>
          <w:right w:val="single" w:sz="4" w:space="4" w:color="auto"/>
        </w:pBdr>
        <w:shd w:val="pct20" w:color="auto" w:fill="auto"/>
        <w:jc w:val="center"/>
        <w:rPr>
          <w:b/>
        </w:rPr>
      </w:pPr>
    </w:p>
    <w:p w:rsidR="00F14627" w:rsidRDefault="00F32966" w:rsidP="00F6334B">
      <w:pPr>
        <w:pBdr>
          <w:top w:val="single" w:sz="4" w:space="1" w:color="auto"/>
          <w:left w:val="single" w:sz="4" w:space="4" w:color="auto"/>
          <w:bottom w:val="single" w:sz="4" w:space="1" w:color="auto"/>
          <w:right w:val="single" w:sz="4" w:space="4" w:color="auto"/>
        </w:pBdr>
        <w:shd w:val="pct20" w:color="auto" w:fill="auto"/>
        <w:jc w:val="center"/>
        <w:rPr>
          <w:b/>
        </w:rPr>
      </w:pPr>
      <w:r w:rsidRPr="00F32966">
        <w:rPr>
          <w:b/>
        </w:rPr>
        <w:t>Date d’effet : 1</w:t>
      </w:r>
      <w:r w:rsidRPr="00F32966">
        <w:rPr>
          <w:b/>
          <w:vertAlign w:val="superscript"/>
        </w:rPr>
        <w:t>er</w:t>
      </w:r>
      <w:r w:rsidRPr="00F32966">
        <w:rPr>
          <w:b/>
        </w:rPr>
        <w:t xml:space="preserve"> janvier 2022</w:t>
      </w:r>
    </w:p>
    <w:p w:rsidR="00F32966" w:rsidRPr="00F32966" w:rsidRDefault="00F32966" w:rsidP="00F6334B">
      <w:pPr>
        <w:pBdr>
          <w:top w:val="single" w:sz="4" w:space="1" w:color="auto"/>
          <w:left w:val="single" w:sz="4" w:space="4" w:color="auto"/>
          <w:bottom w:val="single" w:sz="4" w:space="1" w:color="auto"/>
          <w:right w:val="single" w:sz="4" w:space="4" w:color="auto"/>
        </w:pBdr>
        <w:shd w:val="pct20" w:color="auto" w:fill="auto"/>
        <w:jc w:val="center"/>
        <w:rPr>
          <w:b/>
        </w:rPr>
      </w:pPr>
    </w:p>
    <w:bookmarkEnd w:id="0"/>
    <w:p w:rsidR="0016564F" w:rsidRDefault="0016564F">
      <w:pPr>
        <w:pStyle w:val="En-tte"/>
        <w:tabs>
          <w:tab w:val="clear" w:pos="4536"/>
          <w:tab w:val="clear" w:pos="9072"/>
        </w:tabs>
      </w:pPr>
    </w:p>
    <w:p w:rsidR="00F32966" w:rsidRPr="00F32966" w:rsidRDefault="00F32966" w:rsidP="004129A7">
      <w:pPr>
        <w:pStyle w:val="Corpsdetexte"/>
        <w:jc w:val="both"/>
        <w:rPr>
          <w:rFonts w:ascii="Arial" w:hAnsi="Arial"/>
        </w:rPr>
      </w:pPr>
      <w:r w:rsidRPr="00F32966">
        <w:rPr>
          <w:rFonts w:ascii="Arial" w:hAnsi="Arial"/>
        </w:rPr>
        <w:t>Décret n°89-825 modifié du 9 novembre 1989 portant attribution d'une indemnité de sujétions spéciales de remplacement aux personnels assurant des remplacements dans le premier et le second degré.</w:t>
      </w:r>
    </w:p>
    <w:p w:rsidR="00F32966" w:rsidRPr="00F32966" w:rsidRDefault="00F32966" w:rsidP="004129A7">
      <w:pPr>
        <w:pStyle w:val="Corpsdetexte"/>
        <w:jc w:val="both"/>
        <w:rPr>
          <w:rFonts w:ascii="Arial" w:hAnsi="Arial"/>
        </w:rPr>
      </w:pPr>
    </w:p>
    <w:p w:rsidR="00F32966" w:rsidRPr="00F32966" w:rsidRDefault="00F32966" w:rsidP="004129A7">
      <w:pPr>
        <w:pStyle w:val="Corpsdetexte"/>
        <w:jc w:val="both"/>
        <w:rPr>
          <w:rFonts w:ascii="Arial" w:hAnsi="Arial"/>
        </w:rPr>
      </w:pPr>
      <w:r w:rsidRPr="00F32966">
        <w:rPr>
          <w:rFonts w:ascii="Arial" w:hAnsi="Arial"/>
        </w:rPr>
        <w:t>Arrêté du 27 août 2022 fixant les montants journaliers de l’indemnité de sujétions spéciales de remplacement aux personnels assurant des remplacements dans le premier et le second degré.</w:t>
      </w:r>
    </w:p>
    <w:p w:rsidR="00F32966" w:rsidRDefault="00F32966" w:rsidP="004129A7">
      <w:pPr>
        <w:jc w:val="both"/>
        <w:rPr>
          <w:rFonts w:ascii="Arial" w:hAnsi="Arial"/>
          <w:sz w:val="22"/>
          <w:u w:val="single"/>
        </w:rPr>
      </w:pPr>
    </w:p>
    <w:p w:rsidR="005B2D36" w:rsidRDefault="00F32966" w:rsidP="004129A7">
      <w:pPr>
        <w:jc w:val="both"/>
        <w:rPr>
          <w:rFonts w:ascii="Arial" w:hAnsi="Arial"/>
          <w:sz w:val="22"/>
        </w:rPr>
      </w:pPr>
      <w:r>
        <w:rPr>
          <w:rFonts w:ascii="Arial" w:hAnsi="Arial"/>
          <w:sz w:val="22"/>
        </w:rPr>
        <w:t>Code indemnité : 0702</w:t>
      </w:r>
    </w:p>
    <w:p w:rsidR="004129A7" w:rsidRDefault="004129A7" w:rsidP="004129A7">
      <w:pPr>
        <w:jc w:val="both"/>
        <w:rPr>
          <w:rFonts w:ascii="Arial" w:hAnsi="Arial"/>
          <w:sz w:val="22"/>
        </w:rPr>
      </w:pPr>
    </w:p>
    <w:p w:rsidR="005B2D36" w:rsidRDefault="004129A7" w:rsidP="004129A7">
      <w:pPr>
        <w:jc w:val="both"/>
        <w:rPr>
          <w:rFonts w:ascii="Arial" w:hAnsi="Arial"/>
          <w:sz w:val="22"/>
        </w:rPr>
      </w:pPr>
      <w:r>
        <w:rPr>
          <w:rFonts w:ascii="Arial" w:hAnsi="Arial"/>
          <w:sz w:val="22"/>
        </w:rPr>
        <w:t>Les montants journaliers de l’ISSR sont déterminés en fonction de la distance entre l’école ou l’établissement de rattachement de l’intéressé, et l’école ou l’établissement où s’effectue le remplacement. Ces montants sont fixés par tranche kilométrique :</w:t>
      </w:r>
    </w:p>
    <w:p w:rsidR="00B55ACC" w:rsidRPr="005B2D36" w:rsidRDefault="00B55ACC" w:rsidP="004129A7">
      <w:pPr>
        <w:jc w:val="both"/>
        <w:rPr>
          <w:rFonts w:ascii="Arial" w:hAnsi="Arial"/>
          <w:sz w:val="22"/>
        </w:rPr>
      </w:pPr>
    </w:p>
    <w:p w:rsidR="005B2D36" w:rsidRPr="005B2D36" w:rsidRDefault="005B2D36" w:rsidP="005B2D36">
      <w:pPr>
        <w:rPr>
          <w:rFonts w:ascii="Arial" w:hAnsi="Arial"/>
          <w:sz w:val="22"/>
        </w:rPr>
      </w:pPr>
    </w:p>
    <w:p w:rsidR="005B2D36" w:rsidRPr="005B2D36" w:rsidRDefault="00F32966" w:rsidP="005B2D36">
      <w:pPr>
        <w:rPr>
          <w:rFonts w:ascii="Arial" w:hAnsi="Arial"/>
          <w:sz w:val="22"/>
        </w:rPr>
      </w:pPr>
      <w:r>
        <w:rPr>
          <w:noProof/>
        </w:rPr>
        <w:drawing>
          <wp:inline distT="0" distB="0" distL="0" distR="0" wp14:anchorId="4D9C1A9E" wp14:editId="55C0659B">
            <wp:extent cx="5760720" cy="2096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096770"/>
                    </a:xfrm>
                    <a:prstGeom prst="rect">
                      <a:avLst/>
                    </a:prstGeom>
                  </pic:spPr>
                </pic:pic>
              </a:graphicData>
            </a:graphic>
          </wp:inline>
        </w:drawing>
      </w:r>
    </w:p>
    <w:sectPr w:rsidR="005B2D36" w:rsidRPr="005B2D36">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EC" w:rsidRDefault="007B73EC">
      <w:r>
        <w:separator/>
      </w:r>
    </w:p>
  </w:endnote>
  <w:endnote w:type="continuationSeparator" w:id="0">
    <w:p w:rsidR="007B73EC" w:rsidRDefault="007B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EC" w:rsidRDefault="007B73EC">
      <w:r>
        <w:separator/>
      </w:r>
    </w:p>
  </w:footnote>
  <w:footnote w:type="continuationSeparator" w:id="0">
    <w:p w:rsidR="007B73EC" w:rsidRDefault="007B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34B" w:rsidRPr="00F6334B" w:rsidRDefault="008E1194" w:rsidP="00F6334B">
    <w:pPr>
      <w:widowControl w:val="0"/>
      <w:tabs>
        <w:tab w:val="right" w:pos="9026"/>
      </w:tabs>
      <w:autoSpaceDE w:val="0"/>
      <w:autoSpaceDN w:val="0"/>
      <w:jc w:val="right"/>
      <w:rPr>
        <w:rFonts w:ascii="Arial" w:eastAsia="Arial" w:hAnsi="Arial" w:cs="Arial"/>
        <w:b/>
        <w:bCs/>
        <w:sz w:val="24"/>
        <w:szCs w:val="24"/>
        <w:lang w:val="en-US" w:eastAsia="en-US"/>
      </w:rPr>
    </w:pPr>
    <w:r>
      <w:rPr>
        <w:noProof/>
      </w:rPr>
      <w:drawing>
        <wp:anchor distT="0" distB="0" distL="114300" distR="114300" simplePos="0" relativeHeight="251658240" behindDoc="1" locked="0" layoutInCell="1" allowOverlap="1">
          <wp:simplePos x="0" y="0"/>
          <wp:positionH relativeFrom="column">
            <wp:posOffset>-170180</wp:posOffset>
          </wp:positionH>
          <wp:positionV relativeFrom="paragraph">
            <wp:posOffset>6985</wp:posOffset>
          </wp:positionV>
          <wp:extent cx="1704975" cy="118999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-85725</wp:posOffset>
          </wp:positionH>
          <wp:positionV relativeFrom="paragraph">
            <wp:posOffset>77470</wp:posOffset>
          </wp:positionV>
          <wp:extent cx="1119505" cy="111950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gray">
                  <a:xfrm>
                    <a:off x="0" y="0"/>
                    <a:ext cx="111950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34B" w:rsidRPr="00F6334B">
      <w:rPr>
        <w:rFonts w:ascii="Arial" w:eastAsia="Arial" w:hAnsi="Arial" w:cs="Arial"/>
        <w:b/>
        <w:bCs/>
        <w:sz w:val="24"/>
        <w:szCs w:val="24"/>
        <w:lang w:val="en-US" w:eastAsia="en-US"/>
      </w:rPr>
      <w:tab/>
    </w:r>
  </w:p>
  <w:p w:rsidR="00F6334B" w:rsidRPr="00F6334B" w:rsidRDefault="00F6334B" w:rsidP="00F6334B">
    <w:pPr>
      <w:widowControl w:val="0"/>
      <w:tabs>
        <w:tab w:val="right" w:pos="9026"/>
      </w:tabs>
      <w:autoSpaceDE w:val="0"/>
      <w:autoSpaceDN w:val="0"/>
      <w:jc w:val="right"/>
      <w:rPr>
        <w:rFonts w:ascii="Arial" w:eastAsia="Arial" w:hAnsi="Arial" w:cs="Arial"/>
        <w:b/>
        <w:bCs/>
        <w:sz w:val="24"/>
        <w:szCs w:val="24"/>
        <w:lang w:eastAsia="en-US"/>
      </w:rPr>
    </w:pPr>
    <w:r w:rsidRPr="00F6334B">
      <w:rPr>
        <w:rFonts w:ascii="Arial" w:eastAsia="Arial" w:hAnsi="Arial" w:cs="Arial"/>
        <w:b/>
        <w:bCs/>
        <w:sz w:val="24"/>
        <w:szCs w:val="24"/>
        <w:lang w:eastAsia="en-US"/>
      </w:rPr>
      <w:t>DIRECTION DES RESSOURCES HUMAINES</w:t>
    </w:r>
  </w:p>
  <w:p w:rsidR="00F6334B" w:rsidRPr="00F6334B" w:rsidRDefault="00F6334B" w:rsidP="00F6334B">
    <w:pPr>
      <w:widowControl w:val="0"/>
      <w:tabs>
        <w:tab w:val="right" w:pos="9026"/>
      </w:tabs>
      <w:autoSpaceDE w:val="0"/>
      <w:autoSpaceDN w:val="0"/>
      <w:jc w:val="right"/>
      <w:rPr>
        <w:rFonts w:ascii="Arial" w:eastAsia="Arial" w:hAnsi="Arial" w:cs="Arial"/>
        <w:b/>
        <w:bCs/>
        <w:sz w:val="24"/>
        <w:szCs w:val="24"/>
        <w:lang w:eastAsia="en-US"/>
      </w:rPr>
    </w:pPr>
    <w:r w:rsidRPr="00F6334B">
      <w:rPr>
        <w:rFonts w:ascii="Arial" w:eastAsia="Arial" w:hAnsi="Arial" w:cs="Arial"/>
        <w:b/>
        <w:bCs/>
        <w:sz w:val="24"/>
        <w:szCs w:val="24"/>
        <w:lang w:eastAsia="en-US"/>
      </w:rPr>
      <w:t>DIVISION DES PERSONNELS ENSEIGNANTS</w:t>
    </w:r>
  </w:p>
  <w:p w:rsidR="00F6334B" w:rsidRPr="00F6334B" w:rsidRDefault="00F6334B" w:rsidP="00F6334B">
    <w:pPr>
      <w:widowControl w:val="0"/>
      <w:tabs>
        <w:tab w:val="right" w:pos="9026"/>
      </w:tabs>
      <w:autoSpaceDE w:val="0"/>
      <w:autoSpaceDN w:val="0"/>
      <w:jc w:val="right"/>
      <w:rPr>
        <w:rFonts w:ascii="Arial" w:eastAsia="Arial" w:hAnsi="Arial" w:cs="Arial"/>
        <w:b/>
        <w:bCs/>
        <w:sz w:val="24"/>
        <w:szCs w:val="24"/>
        <w:lang w:eastAsia="en-US"/>
      </w:rPr>
    </w:pPr>
  </w:p>
  <w:p w:rsidR="00F6334B" w:rsidRDefault="00F6334B" w:rsidP="00F6334B">
    <w:pPr>
      <w:widowControl w:val="0"/>
      <w:tabs>
        <w:tab w:val="center" w:pos="4513"/>
        <w:tab w:val="right" w:pos="9026"/>
      </w:tabs>
      <w:autoSpaceDE w:val="0"/>
      <w:autoSpaceDN w:val="0"/>
      <w:rPr>
        <w:rFonts w:ascii="Arial" w:eastAsia="Arial" w:hAnsi="Arial" w:cs="Arial"/>
        <w:sz w:val="22"/>
        <w:szCs w:val="22"/>
        <w:lang w:eastAsia="en-US"/>
      </w:rPr>
    </w:pPr>
  </w:p>
  <w:p w:rsidR="00AF264B" w:rsidRPr="00F6334B" w:rsidRDefault="00AF264B" w:rsidP="00F6334B">
    <w:pPr>
      <w:widowControl w:val="0"/>
      <w:tabs>
        <w:tab w:val="center" w:pos="4513"/>
        <w:tab w:val="right" w:pos="9026"/>
      </w:tabs>
      <w:autoSpaceDE w:val="0"/>
      <w:autoSpaceDN w:val="0"/>
      <w:rPr>
        <w:rFonts w:ascii="Arial" w:eastAsia="Arial" w:hAnsi="Arial" w:cs="Arial"/>
        <w:sz w:val="22"/>
        <w:szCs w:val="22"/>
        <w:lang w:eastAsia="en-US"/>
      </w:rPr>
    </w:pPr>
  </w:p>
  <w:p w:rsidR="0016564F" w:rsidRDefault="0016564F" w:rsidP="00AF264B">
    <w:pPr>
      <w:pStyle w:val="En-tte"/>
      <w:jc w:val="center"/>
      <w:rPr>
        <w:rFonts w:ascii="Garamond" w:hAnsi="Garamond"/>
        <w:sz w:val="22"/>
      </w:rPr>
    </w:pPr>
    <w:r>
      <w:rPr>
        <w:rFonts w:ascii="Garamond" w:hAnsi="Garamond"/>
        <w:sz w:val="22"/>
      </w:rPr>
      <w:t xml:space="preserve">Annexe </w:t>
    </w:r>
    <w:r w:rsidR="00F32966">
      <w:rPr>
        <w:rFonts w:ascii="Garamond" w:hAnsi="Garamond"/>
        <w:sz w:val="22"/>
      </w:rPr>
      <w:t>2</w:t>
    </w:r>
  </w:p>
  <w:p w:rsidR="00AF264B" w:rsidRDefault="00AF264B" w:rsidP="00AF264B">
    <w:pPr>
      <w:pStyle w:val="En-tte"/>
      <w:jc w:val="center"/>
      <w:rPr>
        <w:rFonts w:ascii="Garamond" w:hAnsi="Garamond"/>
        <w:sz w:val="22"/>
      </w:rPr>
    </w:pPr>
    <w:r>
      <w:rPr>
        <w:rFonts w:ascii="Garamond" w:hAnsi="Garamond"/>
        <w:sz w:val="22"/>
      </w:rPr>
      <w:t>ISSR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DEC"/>
    <w:multiLevelType w:val="hybridMultilevel"/>
    <w:tmpl w:val="A564A16A"/>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46"/>
    <w:rsid w:val="000B564D"/>
    <w:rsid w:val="000E62AA"/>
    <w:rsid w:val="00116960"/>
    <w:rsid w:val="00154892"/>
    <w:rsid w:val="0016564F"/>
    <w:rsid w:val="001C3DB6"/>
    <w:rsid w:val="00286CEC"/>
    <w:rsid w:val="002A7846"/>
    <w:rsid w:val="003331C5"/>
    <w:rsid w:val="0036019B"/>
    <w:rsid w:val="003665A1"/>
    <w:rsid w:val="00395C37"/>
    <w:rsid w:val="003D1B2E"/>
    <w:rsid w:val="004129A7"/>
    <w:rsid w:val="0048563C"/>
    <w:rsid w:val="0054174C"/>
    <w:rsid w:val="005B2D36"/>
    <w:rsid w:val="007B73EC"/>
    <w:rsid w:val="007E5622"/>
    <w:rsid w:val="008154B2"/>
    <w:rsid w:val="008E1194"/>
    <w:rsid w:val="00A32B98"/>
    <w:rsid w:val="00AF264B"/>
    <w:rsid w:val="00B36E8B"/>
    <w:rsid w:val="00B55ACC"/>
    <w:rsid w:val="00BC5740"/>
    <w:rsid w:val="00E059CB"/>
    <w:rsid w:val="00E23155"/>
    <w:rsid w:val="00E34B62"/>
    <w:rsid w:val="00E47DC5"/>
    <w:rsid w:val="00EF28C2"/>
    <w:rsid w:val="00F14627"/>
    <w:rsid w:val="00F32966"/>
    <w:rsid w:val="00F63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12C4FFD5-9ACD-435E-A493-6340D19B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outlineLvl w:val="0"/>
    </w:pPr>
    <w:rPr>
      <w:rFonts w:ascii="Garamond" w:hAnsi="Garamond"/>
      <w:sz w:val="24"/>
    </w:rPr>
  </w:style>
  <w:style w:type="paragraph" w:styleId="Titre2">
    <w:name w:val="heading 2"/>
    <w:basedOn w:val="Normal"/>
    <w:next w:val="Normal"/>
    <w:qFormat/>
    <w:pPr>
      <w:keepNext/>
      <w:outlineLvl w:val="1"/>
    </w:pPr>
    <w:rPr>
      <w:rFonts w:ascii="Garamond" w:hAnsi="Garamond"/>
      <w:b/>
      <w:i/>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Garamond" w:hAnsi="Garamond"/>
      <w:sz w:val="22"/>
    </w:rPr>
  </w:style>
  <w:style w:type="paragraph" w:styleId="Textedebulles">
    <w:name w:val="Balloon Text"/>
    <w:basedOn w:val="Normal"/>
    <w:link w:val="TextedebullesCar"/>
    <w:uiPriority w:val="99"/>
    <w:semiHidden/>
    <w:unhideWhenUsed/>
    <w:rsid w:val="00E059CB"/>
    <w:rPr>
      <w:rFonts w:ascii="Segoe UI" w:hAnsi="Segoe UI" w:cs="Segoe UI"/>
      <w:sz w:val="18"/>
      <w:szCs w:val="18"/>
    </w:rPr>
  </w:style>
  <w:style w:type="character" w:customStyle="1" w:styleId="TextedebullesCar">
    <w:name w:val="Texte de bulles Car"/>
    <w:link w:val="Textedebulles"/>
    <w:uiPriority w:val="99"/>
    <w:semiHidden/>
    <w:rsid w:val="00E0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692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Liste des établissements ouvrant droit au bénéfice de la bonification APV</vt:lpstr>
    </vt:vector>
  </TitlesOfParts>
  <Company>RECTORAT</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établissements ouvrant droit au bénéfice de la bonification APV</dc:title>
  <dc:subject/>
  <dc:creator>MIC01053</dc:creator>
  <cp:keywords/>
  <cp:lastModifiedBy>Nathalie Grout</cp:lastModifiedBy>
  <cp:revision>2</cp:revision>
  <cp:lastPrinted>2019-11-14T10:58:00Z</cp:lastPrinted>
  <dcterms:created xsi:type="dcterms:W3CDTF">2023-11-22T15:03:00Z</dcterms:created>
  <dcterms:modified xsi:type="dcterms:W3CDTF">2023-11-22T15:03:00Z</dcterms:modified>
</cp:coreProperties>
</file>